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100D" w14:textId="77777777" w:rsidR="000164BC" w:rsidRDefault="00805D52" w:rsidP="00E16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Francisco voters</w:t>
      </w:r>
      <w:r w:rsidR="000164BC">
        <w:rPr>
          <w:b/>
          <w:sz w:val="28"/>
          <w:szCs w:val="28"/>
        </w:rPr>
        <w:t xml:space="preserve"> give clear mandate</w:t>
      </w:r>
      <w:r>
        <w:rPr>
          <w:b/>
          <w:sz w:val="28"/>
          <w:szCs w:val="28"/>
        </w:rPr>
        <w:t>:</w:t>
      </w:r>
      <w:r w:rsidR="00E1642A" w:rsidRPr="00E1642A">
        <w:rPr>
          <w:b/>
          <w:sz w:val="28"/>
          <w:szCs w:val="28"/>
        </w:rPr>
        <w:t xml:space="preserve"> </w:t>
      </w:r>
    </w:p>
    <w:p w14:paraId="7E3FA031" w14:textId="7F97E3CA" w:rsidR="00AF53B4" w:rsidRDefault="00AF53B4" w:rsidP="00E16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Reinvest in Education, Increase Wages, and Stop Displacement!</w:t>
      </w:r>
    </w:p>
    <w:p w14:paraId="6D79286C" w14:textId="31DB9B77" w:rsidR="00AF53B4" w:rsidRDefault="00827D8F" w:rsidP="00E16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7533C37A" w14:textId="4AB91B3B" w:rsidR="00E1642A" w:rsidRPr="00E1642A" w:rsidRDefault="00E1642A" w:rsidP="00E1642A">
      <w:pPr>
        <w:jc w:val="center"/>
        <w:rPr>
          <w:b/>
          <w:sz w:val="28"/>
          <w:szCs w:val="28"/>
        </w:rPr>
      </w:pPr>
      <w:r w:rsidRPr="00E1642A">
        <w:rPr>
          <w:b/>
          <w:sz w:val="28"/>
          <w:szCs w:val="28"/>
        </w:rPr>
        <w:t>Results of San Francisco Rising’s Spring 2014 Civic Engagement Program</w:t>
      </w:r>
    </w:p>
    <w:p w14:paraId="5DDF27B0" w14:textId="77777777" w:rsidR="00E1642A" w:rsidRDefault="00E1642A"/>
    <w:p w14:paraId="55027B41" w14:textId="77777777" w:rsidR="00E1642A" w:rsidRPr="00E1642A" w:rsidRDefault="00E1642A" w:rsidP="00E1642A">
      <w:pPr>
        <w:jc w:val="center"/>
        <w:rPr>
          <w:b/>
          <w:sz w:val="26"/>
          <w:szCs w:val="26"/>
        </w:rPr>
      </w:pPr>
      <w:r w:rsidRPr="00E1642A">
        <w:rPr>
          <w:b/>
          <w:sz w:val="26"/>
          <w:szCs w:val="26"/>
          <w:u w:val="single"/>
        </w:rPr>
        <w:t>Who is SF Rising?</w:t>
      </w:r>
    </w:p>
    <w:p w14:paraId="5B3F512A" w14:textId="77777777" w:rsidR="00E1642A" w:rsidRDefault="00E1642A" w:rsidP="00E1642A"/>
    <w:p w14:paraId="2719AF52" w14:textId="77777777" w:rsidR="00E1642A" w:rsidRDefault="00E1642A" w:rsidP="00E1642A">
      <w:r>
        <w:t>SF Rising (</w:t>
      </w:r>
      <w:hyperlink r:id="rId9" w:history="1">
        <w:r w:rsidRPr="005D1B01">
          <w:rPr>
            <w:rStyle w:val="Hyperlink"/>
          </w:rPr>
          <w:t>www.sfrising.org</w:t>
        </w:r>
      </w:hyperlink>
      <w:r>
        <w:t xml:space="preserve">) is a movement-building and civic engagement alliance of nine membership-based community organizations rooted in San Francisco’s working class communities of color. </w:t>
      </w:r>
    </w:p>
    <w:p w14:paraId="1F67A852" w14:textId="77777777" w:rsidR="00E1642A" w:rsidRPr="006F3A3E" w:rsidRDefault="00E1642A" w:rsidP="00E1642A">
      <w:pPr>
        <w:rPr>
          <w:sz w:val="16"/>
          <w:szCs w:val="16"/>
        </w:rPr>
      </w:pPr>
    </w:p>
    <w:p w14:paraId="30ADCD2B" w14:textId="06005D79" w:rsidR="00E1642A" w:rsidRDefault="00E1642A">
      <w:r>
        <w:t xml:space="preserve">SF Rising serves as the local anchor organization of </w:t>
      </w:r>
      <w:r w:rsidRPr="00E1642A">
        <w:t>California Calls</w:t>
      </w:r>
      <w:r>
        <w:rPr>
          <w:b/>
          <w:i/>
        </w:rPr>
        <w:t xml:space="preserve"> </w:t>
      </w:r>
      <w:r>
        <w:t>(</w:t>
      </w:r>
      <w:hyperlink r:id="rId10" w:history="1">
        <w:r w:rsidRPr="004753BD">
          <w:rPr>
            <w:rStyle w:val="Hyperlink"/>
          </w:rPr>
          <w:t>www.cacalls.org</w:t>
        </w:r>
      </w:hyperlink>
      <w:r>
        <w:t>), a grassroots electoral coalition with a long-term strategy for progressive statewide tax and fiscal policy reform through organizing new and occasional voters – especially young people, people of color and immigrants.</w:t>
      </w:r>
    </w:p>
    <w:p w14:paraId="570EA9AC" w14:textId="77777777" w:rsidR="00B7004B" w:rsidRDefault="00B7004B"/>
    <w:p w14:paraId="68900698" w14:textId="656F55DD" w:rsidR="00B7004B" w:rsidRDefault="00B7004B">
      <w:r>
        <w:t xml:space="preserve">Each year, SF Rising and California Calls conduct civic engagement programs, </w:t>
      </w:r>
      <w:r w:rsidR="00EB1DFD">
        <w:t>mobilizing thousands of voters in support of timely measures</w:t>
      </w:r>
      <w:r w:rsidR="00785F68">
        <w:t xml:space="preserve"> with direct benefits for working class communities</w:t>
      </w:r>
      <w:r w:rsidR="00E14986">
        <w:t xml:space="preserve"> (the California Calls Action Fund</w:t>
      </w:r>
      <w:r w:rsidR="006A630A">
        <w:t>’</w:t>
      </w:r>
      <w:r w:rsidR="00E14986">
        <w:t xml:space="preserve">s 400,000 </w:t>
      </w:r>
      <w:r w:rsidR="006A630A">
        <w:t xml:space="preserve">strong </w:t>
      </w:r>
      <w:r w:rsidR="00EB1DFD">
        <w:t>voter base prove</w:t>
      </w:r>
      <w:r w:rsidR="00785F68">
        <w:t>d to be the margin of victory of</w:t>
      </w:r>
      <w:r w:rsidR="00EB1DFD">
        <w:t xml:space="preserve"> the major </w:t>
      </w:r>
      <w:r w:rsidR="00785F68">
        <w:t xml:space="preserve">2012 statewide </w:t>
      </w:r>
      <w:r w:rsidR="00EB1DFD">
        <w:t xml:space="preserve">tax measure Proposition 30) and educating voters </w:t>
      </w:r>
      <w:r w:rsidR="005D4F0F">
        <w:t>about</w:t>
      </w:r>
      <w:r w:rsidR="00785F68">
        <w:t xml:space="preserve"> tax and fiscal issues related to systemic, </w:t>
      </w:r>
      <w:r w:rsidR="005D4F0F">
        <w:t>structural change.</w:t>
      </w:r>
      <w:r w:rsidR="00EB1DFD">
        <w:t xml:space="preserve"> </w:t>
      </w:r>
    </w:p>
    <w:p w14:paraId="5A805077" w14:textId="77777777" w:rsidR="00E1642A" w:rsidRDefault="00E1642A" w:rsidP="00E1642A">
      <w:pPr>
        <w:rPr>
          <w:rFonts w:cs="Arial"/>
        </w:rPr>
      </w:pPr>
    </w:p>
    <w:p w14:paraId="079BD34E" w14:textId="612BDD40" w:rsidR="00E1642A" w:rsidRPr="00727D38" w:rsidRDefault="00785F68" w:rsidP="00E1642A">
      <w:pPr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May 2014</w:t>
      </w:r>
      <w:r w:rsidR="00E1642A" w:rsidRPr="00727D38">
        <w:rPr>
          <w:rFonts w:cs="Arial"/>
          <w:b/>
          <w:sz w:val="26"/>
          <w:szCs w:val="26"/>
          <w:u w:val="single"/>
        </w:rPr>
        <w:t xml:space="preserve">: SF Voters Support </w:t>
      </w:r>
      <w:r w:rsidR="00805D52" w:rsidRPr="00727D38">
        <w:rPr>
          <w:rFonts w:cs="Arial"/>
          <w:b/>
          <w:sz w:val="26"/>
          <w:szCs w:val="26"/>
          <w:u w:val="single"/>
        </w:rPr>
        <w:t xml:space="preserve">Immediate </w:t>
      </w:r>
      <w:r w:rsidR="008E40B3">
        <w:rPr>
          <w:rFonts w:cs="Arial"/>
          <w:b/>
          <w:sz w:val="26"/>
          <w:szCs w:val="26"/>
          <w:u w:val="single"/>
        </w:rPr>
        <w:t xml:space="preserve">State </w:t>
      </w:r>
      <w:r w:rsidR="00805D52" w:rsidRPr="00727D38">
        <w:rPr>
          <w:rFonts w:cs="Arial"/>
          <w:b/>
          <w:sz w:val="26"/>
          <w:szCs w:val="26"/>
          <w:u w:val="single"/>
        </w:rPr>
        <w:t>Investment</w:t>
      </w:r>
      <w:r w:rsidR="008E40B3">
        <w:rPr>
          <w:rFonts w:cs="Arial"/>
          <w:b/>
          <w:sz w:val="26"/>
          <w:szCs w:val="26"/>
          <w:u w:val="single"/>
        </w:rPr>
        <w:t xml:space="preserve"> in Education &amp; Social Services --</w:t>
      </w:r>
      <w:r w:rsidR="00805D52" w:rsidRPr="00727D38">
        <w:rPr>
          <w:rFonts w:cs="Arial"/>
          <w:b/>
          <w:sz w:val="26"/>
          <w:szCs w:val="26"/>
          <w:u w:val="single"/>
        </w:rPr>
        <w:t xml:space="preserve"> Not Rainy Day </w:t>
      </w:r>
      <w:r w:rsidR="00C50519">
        <w:rPr>
          <w:rFonts w:cs="Arial"/>
          <w:b/>
          <w:sz w:val="26"/>
          <w:szCs w:val="26"/>
          <w:u w:val="single"/>
        </w:rPr>
        <w:t>Savings a</w:t>
      </w:r>
      <w:r w:rsidR="00805D52" w:rsidRPr="00727D38">
        <w:rPr>
          <w:rFonts w:cs="Arial"/>
          <w:b/>
          <w:sz w:val="26"/>
          <w:szCs w:val="26"/>
          <w:u w:val="single"/>
        </w:rPr>
        <w:t>nd Debt Repayment</w:t>
      </w:r>
    </w:p>
    <w:p w14:paraId="0006044C" w14:textId="77777777" w:rsidR="00805D52" w:rsidRDefault="00805D52" w:rsidP="00E1642A">
      <w:pPr>
        <w:jc w:val="center"/>
        <w:rPr>
          <w:rFonts w:cs="Arial"/>
          <w:b/>
        </w:rPr>
      </w:pPr>
    </w:p>
    <w:p w14:paraId="01DF8A7D" w14:textId="15F8D23C" w:rsidR="00805D52" w:rsidRDefault="007A48FD" w:rsidP="007A48FD">
      <w:r>
        <w:t xml:space="preserve">Last month, SF Rising conducted a 14-day civic engagement program, </w:t>
      </w:r>
      <w:r w:rsidR="00785F68">
        <w:t xml:space="preserve">contacting voters </w:t>
      </w:r>
      <w:r w:rsidR="006A630A">
        <w:t xml:space="preserve">through </w:t>
      </w:r>
      <w:r>
        <w:t xml:space="preserve">both a high-volume predictive dialer and traditional door-to-door canvassing. We targeted voters in 50 precincts, largely </w:t>
      </w:r>
      <w:r w:rsidR="000164BC">
        <w:t>in</w:t>
      </w:r>
      <w:r>
        <w:t xml:space="preserve"> San Francisco</w:t>
      </w:r>
      <w:r w:rsidR="000164BC">
        <w:t>’s southeast</w:t>
      </w:r>
      <w:r w:rsidR="00F37FA7">
        <w:t xml:space="preserve"> neighborhoods </w:t>
      </w:r>
      <w:r>
        <w:t xml:space="preserve">where </w:t>
      </w:r>
      <w:r w:rsidR="000164BC">
        <w:t>our</w:t>
      </w:r>
      <w:r>
        <w:t xml:space="preserve"> member organiz</w:t>
      </w:r>
      <w:r w:rsidR="00785F68">
        <w:t>ations do grassroots organizing each day.</w:t>
      </w:r>
    </w:p>
    <w:p w14:paraId="77D09DB2" w14:textId="77777777" w:rsidR="007A48FD" w:rsidRDefault="007A48FD" w:rsidP="007A48FD"/>
    <w:p w14:paraId="187E057C" w14:textId="6B0E6A28" w:rsidR="000865F6" w:rsidRDefault="007A48FD" w:rsidP="007A48FD">
      <w:r>
        <w:t>All told,</w:t>
      </w:r>
      <w:r w:rsidRPr="007A48FD">
        <w:rPr>
          <w:u w:val="single"/>
        </w:rPr>
        <w:t xml:space="preserve"> </w:t>
      </w:r>
      <w:r w:rsidR="000E793A">
        <w:rPr>
          <w:u w:val="single"/>
        </w:rPr>
        <w:t>SF Rising had conversations with</w:t>
      </w:r>
      <w:r w:rsidRPr="007A48FD">
        <w:rPr>
          <w:u w:val="single"/>
        </w:rPr>
        <w:t xml:space="preserve"> 4,619 voters</w:t>
      </w:r>
      <w:r>
        <w:t xml:space="preserve"> and found that </w:t>
      </w:r>
      <w:r w:rsidR="000164BC" w:rsidRPr="006A630A">
        <w:rPr>
          <w:u w:val="single"/>
        </w:rPr>
        <w:t xml:space="preserve">an overwhelming 80% of </w:t>
      </w:r>
      <w:r w:rsidR="006A630A" w:rsidRPr="006A630A">
        <w:rPr>
          <w:u w:val="single"/>
        </w:rPr>
        <w:t>them</w:t>
      </w:r>
      <w:r w:rsidR="000164BC" w:rsidRPr="006A630A">
        <w:rPr>
          <w:u w:val="single"/>
        </w:rPr>
        <w:t xml:space="preserve"> </w:t>
      </w:r>
      <w:r w:rsidR="001B2732" w:rsidRPr="006A630A">
        <w:rPr>
          <w:u w:val="single"/>
        </w:rPr>
        <w:t>(</w:t>
      </w:r>
      <w:r w:rsidR="000E793A" w:rsidRPr="006A630A">
        <w:rPr>
          <w:u w:val="single"/>
        </w:rPr>
        <w:t>3,719</w:t>
      </w:r>
      <w:r w:rsidR="000E793A">
        <w:rPr>
          <w:u w:val="single"/>
        </w:rPr>
        <w:t xml:space="preserve"> voters</w:t>
      </w:r>
      <w:r w:rsidR="001B2732">
        <w:rPr>
          <w:u w:val="single"/>
        </w:rPr>
        <w:t>)</w:t>
      </w:r>
      <w:r w:rsidRPr="007A48FD">
        <w:rPr>
          <w:u w:val="single"/>
        </w:rPr>
        <w:t xml:space="preserve"> would pr</w:t>
      </w:r>
      <w:r w:rsidR="000E793A">
        <w:rPr>
          <w:u w:val="single"/>
        </w:rPr>
        <w:t>efer state policy makers to</w:t>
      </w:r>
      <w:r w:rsidRPr="007A48FD">
        <w:rPr>
          <w:u w:val="single"/>
        </w:rPr>
        <w:t xml:space="preserve"> immediately invest</w:t>
      </w:r>
      <w:r w:rsidR="00132DEA">
        <w:rPr>
          <w:u w:val="single"/>
        </w:rPr>
        <w:t xml:space="preserve"> $5 billion</w:t>
      </w:r>
      <w:r w:rsidRPr="007A48FD">
        <w:rPr>
          <w:u w:val="single"/>
        </w:rPr>
        <w:t xml:space="preserve"> in education and social services</w:t>
      </w:r>
      <w:r w:rsidR="00132DEA">
        <w:t xml:space="preserve">, </w:t>
      </w:r>
      <w:r w:rsidR="006A630A">
        <w:t xml:space="preserve">funds which </w:t>
      </w:r>
      <w:r w:rsidR="005B1030">
        <w:t xml:space="preserve">under the Governor’s proposed budget </w:t>
      </w:r>
      <w:r>
        <w:t>are currently slated to go towards the</w:t>
      </w:r>
      <w:r w:rsidR="000E793A">
        <w:t xml:space="preserve"> state’s</w:t>
      </w:r>
      <w:r>
        <w:t xml:space="preserve"> Rainy Day Fund, debt service repayment, and private prison expansion.</w:t>
      </w:r>
    </w:p>
    <w:p w14:paraId="5FDC7E84" w14:textId="77777777" w:rsidR="007B122E" w:rsidRDefault="007B122E" w:rsidP="007A48FD"/>
    <w:p w14:paraId="28EE79B4" w14:textId="56D6C621" w:rsidR="007B122E" w:rsidRDefault="007B122E" w:rsidP="007A48FD">
      <w:r>
        <w:rPr>
          <w:noProof/>
        </w:rPr>
        <w:drawing>
          <wp:inline distT="0" distB="0" distL="0" distR="0" wp14:anchorId="087BBB08" wp14:editId="5EDB0EF6">
            <wp:extent cx="5252936" cy="2400300"/>
            <wp:effectExtent l="0" t="0" r="3048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568DC0" w14:textId="77777777" w:rsidR="008E40B3" w:rsidRDefault="008E40B3" w:rsidP="007A48FD"/>
    <w:p w14:paraId="3E3E5C1D" w14:textId="14D9ECD4" w:rsidR="000E793A" w:rsidRDefault="000E793A" w:rsidP="00C5051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SF </w:t>
      </w:r>
      <w:r w:rsidR="00C50519" w:rsidRPr="00C50519">
        <w:rPr>
          <w:b/>
          <w:sz w:val="26"/>
          <w:szCs w:val="26"/>
          <w:u w:val="single"/>
        </w:rPr>
        <w:t xml:space="preserve">Voters </w:t>
      </w:r>
      <w:r>
        <w:rPr>
          <w:b/>
          <w:sz w:val="26"/>
          <w:szCs w:val="26"/>
          <w:u w:val="single"/>
        </w:rPr>
        <w:t xml:space="preserve">Strongly </w:t>
      </w:r>
      <w:r w:rsidR="00C50519" w:rsidRPr="00C50519">
        <w:rPr>
          <w:b/>
          <w:sz w:val="26"/>
          <w:szCs w:val="26"/>
          <w:u w:val="single"/>
        </w:rPr>
        <w:t xml:space="preserve">Support </w:t>
      </w:r>
      <w:r w:rsidR="00132DEA">
        <w:rPr>
          <w:b/>
          <w:sz w:val="26"/>
          <w:szCs w:val="26"/>
          <w:u w:val="single"/>
        </w:rPr>
        <w:t xml:space="preserve">Increasing Minimum Wage to </w:t>
      </w:r>
      <w:r w:rsidR="00C50519" w:rsidRPr="00C50519">
        <w:rPr>
          <w:b/>
          <w:sz w:val="26"/>
          <w:szCs w:val="26"/>
          <w:u w:val="single"/>
        </w:rPr>
        <w:t>$15</w:t>
      </w:r>
      <w:r>
        <w:rPr>
          <w:b/>
          <w:sz w:val="26"/>
          <w:szCs w:val="26"/>
          <w:u w:val="single"/>
        </w:rPr>
        <w:t xml:space="preserve"> per </w:t>
      </w:r>
      <w:r w:rsidR="00C50519" w:rsidRPr="00C50519">
        <w:rPr>
          <w:b/>
          <w:sz w:val="26"/>
          <w:szCs w:val="26"/>
          <w:u w:val="single"/>
        </w:rPr>
        <w:t>Hour</w:t>
      </w:r>
      <w:r w:rsidR="00132DEA">
        <w:rPr>
          <w:b/>
          <w:sz w:val="26"/>
          <w:szCs w:val="26"/>
          <w:u w:val="single"/>
        </w:rPr>
        <w:t xml:space="preserve"> </w:t>
      </w:r>
      <w:r w:rsidR="00C50519" w:rsidRPr="00C50519">
        <w:rPr>
          <w:b/>
          <w:sz w:val="26"/>
          <w:szCs w:val="26"/>
          <w:u w:val="single"/>
        </w:rPr>
        <w:t xml:space="preserve">and </w:t>
      </w:r>
    </w:p>
    <w:p w14:paraId="7588CE9F" w14:textId="796096E1" w:rsidR="008E40B3" w:rsidRDefault="00C50519" w:rsidP="00C50519">
      <w:pPr>
        <w:jc w:val="center"/>
        <w:rPr>
          <w:b/>
          <w:sz w:val="26"/>
          <w:szCs w:val="26"/>
          <w:u w:val="single"/>
        </w:rPr>
      </w:pPr>
      <w:r w:rsidRPr="00C50519">
        <w:rPr>
          <w:b/>
          <w:sz w:val="26"/>
          <w:szCs w:val="26"/>
          <w:u w:val="single"/>
        </w:rPr>
        <w:t>Increasing Taxes on Housing Speculation</w:t>
      </w:r>
    </w:p>
    <w:p w14:paraId="411B3880" w14:textId="77777777" w:rsidR="00C50519" w:rsidRDefault="00C50519" w:rsidP="00C50519"/>
    <w:p w14:paraId="42E152D6" w14:textId="6CF45A58" w:rsidR="009B16A2" w:rsidRDefault="00C50519" w:rsidP="00C50519">
      <w:r>
        <w:t>In addition to</w:t>
      </w:r>
      <w:r w:rsidR="00F82663">
        <w:t xml:space="preserve"> </w:t>
      </w:r>
      <w:r w:rsidR="005B1030">
        <w:t xml:space="preserve">discussing </w:t>
      </w:r>
      <w:r w:rsidR="00F82663">
        <w:t xml:space="preserve">state budget </w:t>
      </w:r>
      <w:r w:rsidR="00A65A41">
        <w:t>issues</w:t>
      </w:r>
      <w:r w:rsidR="00132DEA">
        <w:t xml:space="preserve"> with voters</w:t>
      </w:r>
      <w:r w:rsidR="00A65A41">
        <w:t xml:space="preserve">, </w:t>
      </w:r>
      <w:r w:rsidR="000E793A">
        <w:t xml:space="preserve">SF </w:t>
      </w:r>
      <w:r w:rsidR="005B1030">
        <w:t>Rising</w:t>
      </w:r>
      <w:r w:rsidR="00132DEA">
        <w:t xml:space="preserve"> also</w:t>
      </w:r>
      <w:r w:rsidR="005B1030">
        <w:t xml:space="preserve"> </w:t>
      </w:r>
      <w:r w:rsidR="000E793A">
        <w:t>addressed</w:t>
      </w:r>
      <w:r w:rsidR="00F06BD1">
        <w:t xml:space="preserve"> the crisis of affordability and displacement facing San Francisco’s work</w:t>
      </w:r>
      <w:r w:rsidR="000E793A">
        <w:t>ing class communities of color.</w:t>
      </w:r>
    </w:p>
    <w:p w14:paraId="2EBE92D4" w14:textId="77777777" w:rsidR="009B16A2" w:rsidRDefault="009B16A2" w:rsidP="00C50519"/>
    <w:p w14:paraId="410B9BF3" w14:textId="26422A36" w:rsidR="00F965BC" w:rsidRDefault="000E793A" w:rsidP="00F965BC">
      <w:r>
        <w:t>Currently, SF Rising is</w:t>
      </w:r>
      <w:r w:rsidR="00F06BD1">
        <w:t xml:space="preserve"> working with</w:t>
      </w:r>
      <w:r w:rsidR="00132DEA">
        <w:t xml:space="preserve"> the Campaign for a Fair Economy,</w:t>
      </w:r>
      <w:r w:rsidR="00F06BD1">
        <w:t xml:space="preserve"> a coalition of labor and community allies</w:t>
      </w:r>
      <w:r w:rsidR="00A127CB">
        <w:t>,</w:t>
      </w:r>
      <w:r w:rsidR="00F06BD1">
        <w:t xml:space="preserve"> to raise the</w:t>
      </w:r>
      <w:r>
        <w:t xml:space="preserve"> </w:t>
      </w:r>
      <w:r w:rsidR="00132DEA">
        <w:t xml:space="preserve">SF </w:t>
      </w:r>
      <w:r w:rsidR="00F06BD1">
        <w:t>minimum wage to $15 per hour</w:t>
      </w:r>
      <w:r w:rsidR="00A127CB">
        <w:t xml:space="preserve">. </w:t>
      </w:r>
      <w:r w:rsidR="00FB612C">
        <w:t xml:space="preserve">Over the course of our outreach program last month, we discovered </w:t>
      </w:r>
      <w:r w:rsidR="00FB612C" w:rsidRPr="00F06BD1">
        <w:rPr>
          <w:u w:val="single"/>
        </w:rPr>
        <w:t>2,833 voters agree that raising the minimum wage to $15 per hour will help keep working people in San Francisco</w:t>
      </w:r>
      <w:r w:rsidR="00FB612C">
        <w:t xml:space="preserve">. </w:t>
      </w:r>
      <w:r w:rsidR="00D05D0E">
        <w:t xml:space="preserve">Last week, the Campaign for a Fair Economy </w:t>
      </w:r>
      <w:r w:rsidR="00E17AC0">
        <w:t>reached a compromise agreement with busines</w:t>
      </w:r>
      <w:r w:rsidR="00FB612C">
        <w:t xml:space="preserve">s groups, the Mayor and the entire Board of Supervisors </w:t>
      </w:r>
      <w:r w:rsidR="00D22DC4">
        <w:t>to bring forward a single measure</w:t>
      </w:r>
      <w:r w:rsidR="001B54CA">
        <w:t xml:space="preserve"> </w:t>
      </w:r>
      <w:bookmarkStart w:id="0" w:name="_GoBack"/>
      <w:r w:rsidR="001B54CA">
        <w:t>f</w:t>
      </w:r>
      <w:bookmarkEnd w:id="0"/>
      <w:r w:rsidR="001B54CA">
        <w:t>or the November ballot</w:t>
      </w:r>
      <w:r w:rsidR="00D22DC4">
        <w:t xml:space="preserve"> that would raise San Francisco’s minimum wage to $15 per hour by 2018</w:t>
      </w:r>
      <w:r w:rsidR="00FB612C">
        <w:t xml:space="preserve"> – the strongest minimum wage law in the country</w:t>
      </w:r>
      <w:r w:rsidR="005644BA">
        <w:t>!</w:t>
      </w:r>
    </w:p>
    <w:p w14:paraId="756A8028" w14:textId="77777777" w:rsidR="00F965BC" w:rsidRDefault="00F965BC" w:rsidP="00C50519"/>
    <w:p w14:paraId="29258576" w14:textId="472353E7" w:rsidR="009D04BE" w:rsidRPr="00F965BC" w:rsidRDefault="00D67A32" w:rsidP="00C50519">
      <w:r>
        <w:t>A</w:t>
      </w:r>
      <w:r w:rsidR="003017B2">
        <w:t>s</w:t>
      </w:r>
      <w:r w:rsidR="001A7690">
        <w:t xml:space="preserve"> </w:t>
      </w:r>
      <w:r w:rsidR="003017B2">
        <w:t>part of the San Francisco Anti-Displacement Coalition,</w:t>
      </w:r>
      <w:r w:rsidR="001A7690">
        <w:t xml:space="preserve"> an alliance of groups from the </w:t>
      </w:r>
      <w:r w:rsidR="009B16A2">
        <w:t>tenant</w:t>
      </w:r>
      <w:r w:rsidR="001A7690">
        <w:t xml:space="preserve"> and housing</w:t>
      </w:r>
      <w:r w:rsidR="009B16A2">
        <w:t xml:space="preserve"> rights movement (</w:t>
      </w:r>
      <w:hyperlink r:id="rId12" w:history="1">
        <w:r w:rsidR="009B16A2" w:rsidRPr="00D35D84">
          <w:rPr>
            <w:rStyle w:val="Hyperlink"/>
          </w:rPr>
          <w:t>www.sfadc.blogspot.com</w:t>
        </w:r>
      </w:hyperlink>
      <w:r w:rsidR="009B16A2">
        <w:t xml:space="preserve">), </w:t>
      </w:r>
      <w:r>
        <w:t xml:space="preserve">SF Rising </w:t>
      </w:r>
      <w:r w:rsidR="003017B2">
        <w:t xml:space="preserve">is also </w:t>
      </w:r>
      <w:r w:rsidR="001B54CA">
        <w:t xml:space="preserve">working to create </w:t>
      </w:r>
      <w:r w:rsidR="003017B2">
        <w:t xml:space="preserve">policies </w:t>
      </w:r>
      <w:r w:rsidR="009B16A2">
        <w:t xml:space="preserve">to </w:t>
      </w:r>
      <w:r w:rsidR="009F0BBB">
        <w:t xml:space="preserve">stop the massive displacement of working people from San Francisco. </w:t>
      </w:r>
      <w:r w:rsidR="00A127CB">
        <w:t xml:space="preserve">In order to discourage the evictions that </w:t>
      </w:r>
      <w:r>
        <w:t xml:space="preserve">frequently </w:t>
      </w:r>
      <w:r w:rsidR="00A127CB">
        <w:t xml:space="preserve">result from speculators buying and selling </w:t>
      </w:r>
      <w:r>
        <w:t xml:space="preserve">apartment buildings </w:t>
      </w:r>
      <w:r w:rsidR="00A127CB">
        <w:t xml:space="preserve">in quick succession (also known as “flipping” apartments), </w:t>
      </w:r>
      <w:r w:rsidR="009F0BBB">
        <w:t xml:space="preserve">SF </w:t>
      </w:r>
      <w:r w:rsidR="003017B2">
        <w:t xml:space="preserve">Rising supports </w:t>
      </w:r>
      <w:r w:rsidR="006711F9">
        <w:t>a policy that would substantially increase the tax on the sales of apartments if bought and resold within five years</w:t>
      </w:r>
      <w:r>
        <w:t>.</w:t>
      </w:r>
      <w:r w:rsidR="00F965BC">
        <w:t xml:space="preserve"> </w:t>
      </w:r>
      <w:r w:rsidR="001A7690">
        <w:t>During our voter outreach in May,</w:t>
      </w:r>
      <w:r w:rsidR="005644BA">
        <w:t xml:space="preserve"> SF Rising</w:t>
      </w:r>
      <w:r w:rsidR="001A7690">
        <w:t xml:space="preserve"> </w:t>
      </w:r>
      <w:r w:rsidR="00F06BD1">
        <w:t xml:space="preserve">found that </w:t>
      </w:r>
      <w:r w:rsidR="00F06BD1" w:rsidRPr="00427962">
        <w:rPr>
          <w:u w:val="single"/>
        </w:rPr>
        <w:t>2,677 voters agree that rais</w:t>
      </w:r>
      <w:r w:rsidR="005644BA">
        <w:rPr>
          <w:u w:val="single"/>
        </w:rPr>
        <w:t>ing taxes on housing speculators</w:t>
      </w:r>
      <w:r w:rsidR="00F06BD1" w:rsidRPr="00427962">
        <w:rPr>
          <w:u w:val="single"/>
        </w:rPr>
        <w:t xml:space="preserve"> </w:t>
      </w:r>
      <w:r w:rsidR="00427962" w:rsidRPr="00427962">
        <w:rPr>
          <w:u w:val="single"/>
        </w:rPr>
        <w:t>will help keep working people in San Francisco.</w:t>
      </w:r>
    </w:p>
    <w:p w14:paraId="09C64B05" w14:textId="77777777" w:rsidR="009B16A2" w:rsidRDefault="009B16A2" w:rsidP="00C50519">
      <w:pPr>
        <w:rPr>
          <w:u w:val="single"/>
        </w:rPr>
      </w:pPr>
    </w:p>
    <w:p w14:paraId="1738AB8D" w14:textId="0D82923E" w:rsidR="00862430" w:rsidRDefault="009B16A2" w:rsidP="00C50519">
      <w:r>
        <w:rPr>
          <w:noProof/>
        </w:rPr>
        <w:drawing>
          <wp:inline distT="0" distB="0" distL="0" distR="0" wp14:anchorId="252DAE9A" wp14:editId="6BF8899A">
            <wp:extent cx="5486400" cy="25146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3107EC" w14:textId="33161366" w:rsidR="00862430" w:rsidRDefault="00862430" w:rsidP="00862430"/>
    <w:p w14:paraId="70F2FF53" w14:textId="511C2215" w:rsidR="009B16A2" w:rsidRPr="00862430" w:rsidRDefault="00862430" w:rsidP="00862430">
      <w:pPr>
        <w:tabs>
          <w:tab w:val="left" w:pos="919"/>
        </w:tabs>
        <w:jc w:val="center"/>
        <w:rPr>
          <w:b/>
          <w:sz w:val="26"/>
          <w:szCs w:val="26"/>
          <w:u w:val="single"/>
        </w:rPr>
      </w:pPr>
      <w:r w:rsidRPr="00862430">
        <w:rPr>
          <w:b/>
          <w:sz w:val="26"/>
          <w:szCs w:val="26"/>
          <w:u w:val="single"/>
        </w:rPr>
        <w:t>Onward to the November 2014 Ballot!</w:t>
      </w:r>
    </w:p>
    <w:p w14:paraId="45C27C02" w14:textId="77777777" w:rsidR="00862430" w:rsidRDefault="00862430" w:rsidP="00862430">
      <w:pPr>
        <w:tabs>
          <w:tab w:val="left" w:pos="919"/>
        </w:tabs>
      </w:pPr>
    </w:p>
    <w:p w14:paraId="7229FF23" w14:textId="77777777" w:rsidR="006711F9" w:rsidRDefault="00182145" w:rsidP="006711F9">
      <w:pPr>
        <w:tabs>
          <w:tab w:val="left" w:pos="919"/>
        </w:tabs>
      </w:pPr>
      <w:r>
        <w:t xml:space="preserve">SF Rising looks forward to working </w:t>
      </w:r>
      <w:r w:rsidR="0000622A">
        <w:t xml:space="preserve">with our allies </w:t>
      </w:r>
      <w:r w:rsidR="00B55E14">
        <w:t xml:space="preserve">to address the needs of working class communities of color </w:t>
      </w:r>
      <w:r w:rsidR="006711F9">
        <w:t>through the ballot box in November 2014 – including by taxing housing speculators and raising the minimum wage.</w:t>
      </w:r>
    </w:p>
    <w:p w14:paraId="11BA861E" w14:textId="77777777" w:rsidR="000B7E43" w:rsidRDefault="000B7E43" w:rsidP="006711F9">
      <w:pPr>
        <w:tabs>
          <w:tab w:val="left" w:pos="919"/>
        </w:tabs>
      </w:pPr>
    </w:p>
    <w:p w14:paraId="0765A0C4" w14:textId="7C958902" w:rsidR="000B7E43" w:rsidRPr="00862430" w:rsidRDefault="006711F9" w:rsidP="000B7E43">
      <w:pPr>
        <w:tabs>
          <w:tab w:val="left" w:pos="919"/>
        </w:tabs>
      </w:pPr>
      <w:r>
        <w:t xml:space="preserve">Please </w:t>
      </w:r>
      <w:hyperlink r:id="rId14" w:history="1">
        <w:r w:rsidRPr="00827D8F">
          <w:rPr>
            <w:rStyle w:val="Hyperlink"/>
          </w:rPr>
          <w:t xml:space="preserve">donate today to ensure we are successful on </w:t>
        </w:r>
        <w:r w:rsidR="00827D8F" w:rsidRPr="00827D8F">
          <w:rPr>
            <w:rStyle w:val="Hyperlink"/>
          </w:rPr>
          <w:t>Election Day</w:t>
        </w:r>
        <w:r w:rsidRPr="00827D8F">
          <w:rPr>
            <w:rStyle w:val="Hyperlink"/>
          </w:rPr>
          <w:t xml:space="preserve"> this fall!</w:t>
        </w:r>
      </w:hyperlink>
      <w:r>
        <w:t xml:space="preserve">  </w:t>
      </w:r>
    </w:p>
    <w:sectPr w:rsidR="000B7E43" w:rsidRPr="00862430" w:rsidSect="0091249B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936B" w14:textId="77777777" w:rsidR="00EF7513" w:rsidRDefault="00EF7513" w:rsidP="00E1642A">
      <w:r>
        <w:separator/>
      </w:r>
    </w:p>
  </w:endnote>
  <w:endnote w:type="continuationSeparator" w:id="0">
    <w:p w14:paraId="0BBB1620" w14:textId="77777777" w:rsidR="00EF7513" w:rsidRDefault="00EF7513" w:rsidP="00E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5FA7" w14:textId="77777777" w:rsidR="00EF7513" w:rsidRDefault="00EF7513" w:rsidP="00006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6447D" w14:textId="77777777" w:rsidR="00EF7513" w:rsidRDefault="00EF7513" w:rsidP="00FC12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567A" w14:textId="77777777" w:rsidR="00EF7513" w:rsidRDefault="00EF7513" w:rsidP="00006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D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DFD6E" w14:textId="77777777" w:rsidR="00EF7513" w:rsidRDefault="00EF7513" w:rsidP="00FC1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81F9" w14:textId="77777777" w:rsidR="00EF7513" w:rsidRDefault="00EF7513" w:rsidP="00E1642A">
      <w:r>
        <w:separator/>
      </w:r>
    </w:p>
  </w:footnote>
  <w:footnote w:type="continuationSeparator" w:id="0">
    <w:p w14:paraId="59451B62" w14:textId="77777777" w:rsidR="00EF7513" w:rsidRDefault="00EF7513" w:rsidP="00E16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88C8" w14:textId="2959F74B" w:rsidR="00EF7513" w:rsidRDefault="00EF7513">
    <w:pPr>
      <w:pStyle w:val="Header"/>
    </w:pPr>
    <w:r>
      <w:t>June 16,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4D7"/>
    <w:multiLevelType w:val="hybridMultilevel"/>
    <w:tmpl w:val="B38EC13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A"/>
    <w:rsid w:val="0000622A"/>
    <w:rsid w:val="000164BC"/>
    <w:rsid w:val="000865F6"/>
    <w:rsid w:val="000A6058"/>
    <w:rsid w:val="000B7E43"/>
    <w:rsid w:val="000E793A"/>
    <w:rsid w:val="00132DEA"/>
    <w:rsid w:val="00182145"/>
    <w:rsid w:val="001A5EEC"/>
    <w:rsid w:val="001A7690"/>
    <w:rsid w:val="001B2732"/>
    <w:rsid w:val="001B54CA"/>
    <w:rsid w:val="002B0DF2"/>
    <w:rsid w:val="003017B2"/>
    <w:rsid w:val="003435FF"/>
    <w:rsid w:val="00393C4E"/>
    <w:rsid w:val="003D7D1C"/>
    <w:rsid w:val="00427962"/>
    <w:rsid w:val="00491561"/>
    <w:rsid w:val="00496910"/>
    <w:rsid w:val="004C0EDE"/>
    <w:rsid w:val="005644BA"/>
    <w:rsid w:val="00565C30"/>
    <w:rsid w:val="005B1030"/>
    <w:rsid w:val="005D4F0F"/>
    <w:rsid w:val="006711F9"/>
    <w:rsid w:val="006A630A"/>
    <w:rsid w:val="00727D38"/>
    <w:rsid w:val="00736E26"/>
    <w:rsid w:val="00761A4C"/>
    <w:rsid w:val="00785F68"/>
    <w:rsid w:val="007A48FD"/>
    <w:rsid w:val="007B122E"/>
    <w:rsid w:val="00805D52"/>
    <w:rsid w:val="00827D8F"/>
    <w:rsid w:val="00862359"/>
    <w:rsid w:val="00862430"/>
    <w:rsid w:val="008C16DB"/>
    <w:rsid w:val="008E40B3"/>
    <w:rsid w:val="00903E9E"/>
    <w:rsid w:val="0091249B"/>
    <w:rsid w:val="00933579"/>
    <w:rsid w:val="009373E1"/>
    <w:rsid w:val="009B16A2"/>
    <w:rsid w:val="009D04BE"/>
    <w:rsid w:val="009F0BBB"/>
    <w:rsid w:val="00A127CB"/>
    <w:rsid w:val="00A65A41"/>
    <w:rsid w:val="00AF53B4"/>
    <w:rsid w:val="00B22BA5"/>
    <w:rsid w:val="00B308E9"/>
    <w:rsid w:val="00B5576C"/>
    <w:rsid w:val="00B55E14"/>
    <w:rsid w:val="00B60537"/>
    <w:rsid w:val="00B7004B"/>
    <w:rsid w:val="00C303ED"/>
    <w:rsid w:val="00C50519"/>
    <w:rsid w:val="00C72273"/>
    <w:rsid w:val="00D05D0E"/>
    <w:rsid w:val="00D22DC4"/>
    <w:rsid w:val="00D67A32"/>
    <w:rsid w:val="00E14986"/>
    <w:rsid w:val="00E1642A"/>
    <w:rsid w:val="00E17AC0"/>
    <w:rsid w:val="00E97465"/>
    <w:rsid w:val="00EA47CB"/>
    <w:rsid w:val="00EB1DFD"/>
    <w:rsid w:val="00EF7513"/>
    <w:rsid w:val="00F06BD1"/>
    <w:rsid w:val="00F3168E"/>
    <w:rsid w:val="00F37FA7"/>
    <w:rsid w:val="00F82663"/>
    <w:rsid w:val="00F965BC"/>
    <w:rsid w:val="00FB612C"/>
    <w:rsid w:val="00FC122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F36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2A"/>
  </w:style>
  <w:style w:type="paragraph" w:styleId="Footer">
    <w:name w:val="footer"/>
    <w:basedOn w:val="Normal"/>
    <w:link w:val="FooterChar"/>
    <w:uiPriority w:val="99"/>
    <w:unhideWhenUsed/>
    <w:rsid w:val="00E16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2A"/>
  </w:style>
  <w:style w:type="paragraph" w:styleId="BalloonText">
    <w:name w:val="Balloon Text"/>
    <w:basedOn w:val="Normal"/>
    <w:link w:val="BalloonTextChar"/>
    <w:uiPriority w:val="99"/>
    <w:semiHidden/>
    <w:unhideWhenUsed/>
    <w:rsid w:val="00805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122C"/>
  </w:style>
  <w:style w:type="paragraph" w:styleId="ListParagraph">
    <w:name w:val="List Paragraph"/>
    <w:basedOn w:val="Normal"/>
    <w:uiPriority w:val="34"/>
    <w:qFormat/>
    <w:rsid w:val="00AF53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7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2A"/>
  </w:style>
  <w:style w:type="paragraph" w:styleId="Footer">
    <w:name w:val="footer"/>
    <w:basedOn w:val="Normal"/>
    <w:link w:val="FooterChar"/>
    <w:uiPriority w:val="99"/>
    <w:unhideWhenUsed/>
    <w:rsid w:val="00E16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2A"/>
  </w:style>
  <w:style w:type="paragraph" w:styleId="BalloonText">
    <w:name w:val="Balloon Text"/>
    <w:basedOn w:val="Normal"/>
    <w:link w:val="BalloonTextChar"/>
    <w:uiPriority w:val="99"/>
    <w:semiHidden/>
    <w:unhideWhenUsed/>
    <w:rsid w:val="00805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122C"/>
  </w:style>
  <w:style w:type="paragraph" w:styleId="ListParagraph">
    <w:name w:val="List Paragraph"/>
    <w:basedOn w:val="Normal"/>
    <w:uiPriority w:val="34"/>
    <w:qFormat/>
    <w:rsid w:val="00AF53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7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hyperlink" Target="http://www.sfadc.blogspot.com" TargetMode="External"/><Relationship Id="rId13" Type="http://schemas.openxmlformats.org/officeDocument/2006/relationships/chart" Target="charts/chart2.xml"/><Relationship Id="rId14" Type="http://schemas.openxmlformats.org/officeDocument/2006/relationships/hyperlink" Target="https://cj.ourpowerbase.net/civicrm/contribute/transact?reset=1&amp;id=8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frising.org" TargetMode="External"/><Relationship Id="rId10" Type="http://schemas.openxmlformats.org/officeDocument/2006/relationships/hyperlink" Target="http://www.cacalls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0000"/>
                </a:solidFill>
                <a:latin typeface="Arial Narrow"/>
                <a:cs typeface="Arial Narrow"/>
              </a:rPr>
              <a:t>SF Rising's Spring 2014 Voter</a:t>
            </a:r>
            <a:r>
              <a:rPr lang="en-US" baseline="0">
                <a:solidFill>
                  <a:srgbClr val="FF0000"/>
                </a:solidFill>
                <a:latin typeface="Arial Narrow"/>
                <a:cs typeface="Arial Narrow"/>
              </a:rPr>
              <a:t> Contacts</a:t>
            </a:r>
            <a:endParaRPr lang="en-US">
              <a:solidFill>
                <a:srgbClr val="FF0000"/>
              </a:solidFill>
              <a:latin typeface="Arial Narrow"/>
              <a:cs typeface="Arial Narrow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Conversations with voters</c:v>
                </c:pt>
                <c:pt idx="1">
                  <c:v>Voters who believe state policymakers should immediately invest $5 billion more into education and social services -- not put away in savings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4619.0</c:v>
                </c:pt>
                <c:pt idx="1">
                  <c:v>3714.0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4012536"/>
        <c:axId val="2084015560"/>
      </c:barChart>
      <c:catAx>
        <c:axId val="2084012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 Narrow"/>
                <a:cs typeface="Arial Narrow"/>
              </a:defRPr>
            </a:pPr>
            <a:endParaRPr lang="en-US"/>
          </a:p>
        </c:txPr>
        <c:crossAx val="2084015560"/>
        <c:crossesAt val="100.0"/>
        <c:auto val="1"/>
        <c:lblAlgn val="ctr"/>
        <c:lblOffset val="100"/>
        <c:noMultiLvlLbl val="0"/>
      </c:catAx>
      <c:valAx>
        <c:axId val="2084015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 Narrow"/>
                <a:cs typeface="Arial Narrow"/>
              </a:defRPr>
            </a:pPr>
            <a:endParaRPr lang="en-US"/>
          </a:p>
        </c:txPr>
        <c:crossAx val="2084012536"/>
        <c:crosses val="autoZero"/>
        <c:crossBetween val="between"/>
        <c:majorUnit val="1000.0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0000"/>
                </a:solidFill>
                <a:latin typeface="Arial Narrow"/>
                <a:cs typeface="Arial Narrow"/>
              </a:rPr>
              <a:t>SF voters support $15 per hour minimum wage</a:t>
            </a:r>
            <a:r>
              <a:rPr lang="en-US" baseline="0">
                <a:solidFill>
                  <a:srgbClr val="FF0000"/>
                </a:solidFill>
                <a:latin typeface="Arial Narrow"/>
                <a:cs typeface="Arial Narrow"/>
              </a:rPr>
              <a:t> and </a:t>
            </a:r>
            <a:r>
              <a:rPr lang="en-US">
                <a:solidFill>
                  <a:srgbClr val="FF0000"/>
                </a:solidFill>
                <a:latin typeface="Arial Narrow"/>
                <a:cs typeface="Arial Narrow"/>
              </a:rPr>
              <a:t>inreased taxes</a:t>
            </a:r>
            <a:r>
              <a:rPr lang="en-US" baseline="0">
                <a:solidFill>
                  <a:srgbClr val="FF0000"/>
                </a:solidFill>
                <a:latin typeface="Arial Narrow"/>
                <a:cs typeface="Arial Narrow"/>
              </a:rPr>
              <a:t> on</a:t>
            </a:r>
            <a:r>
              <a:rPr lang="en-US">
                <a:solidFill>
                  <a:srgbClr val="FF0000"/>
                </a:solidFill>
                <a:latin typeface="Arial Narrow"/>
                <a:cs typeface="Arial Narrow"/>
              </a:rPr>
              <a:t> housing speculation</a:t>
            </a:r>
          </a:p>
        </c:rich>
      </c:tx>
      <c:layout>
        <c:manualLayout>
          <c:xMode val="edge"/>
          <c:yMode val="edge"/>
          <c:x val="0.102153689122193"/>
          <c:y val="0.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Voters who support $15 per hour minimum wage</c:v>
                </c:pt>
                <c:pt idx="1">
                  <c:v>Voters who support increasing taxing housing speculation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2833.0</c:v>
                </c:pt>
                <c:pt idx="1">
                  <c:v>2677.0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566104"/>
        <c:axId val="2106569128"/>
      </c:barChart>
      <c:catAx>
        <c:axId val="2106566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t" anchorCtr="1"/>
          <a:lstStyle/>
          <a:p>
            <a:pPr>
              <a:defRPr b="1">
                <a:latin typeface="Arial Narrow"/>
                <a:cs typeface="Arial Narrow"/>
              </a:defRPr>
            </a:pPr>
            <a:endParaRPr lang="en-US"/>
          </a:p>
        </c:txPr>
        <c:crossAx val="2106569128"/>
        <c:crossesAt val="100.0"/>
        <c:auto val="1"/>
        <c:lblAlgn val="ctr"/>
        <c:lblOffset val="100"/>
        <c:noMultiLvlLbl val="0"/>
      </c:catAx>
      <c:valAx>
        <c:axId val="2106569128"/>
        <c:scaling>
          <c:orientation val="minMax"/>
          <c:min val="0.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 Narrow"/>
                <a:cs typeface="Arial Narrow"/>
              </a:defRPr>
            </a:pPr>
            <a:endParaRPr lang="en-US"/>
          </a:p>
        </c:txPr>
        <c:crossAx val="2106566104"/>
        <c:crosses val="autoZero"/>
        <c:crossBetween val="between"/>
        <c:majorUnit val="500.0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73224-F206-9A4C-91A1-045F4984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Macintosh Word</Application>
  <DocSecurity>0</DocSecurity>
  <Lines>29</Lines>
  <Paragraphs>8</Paragraphs>
  <ScaleCrop>false</ScaleCrop>
  <Company>SF Rising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Yedidia</dc:creator>
  <cp:keywords/>
  <dc:description/>
  <cp:lastModifiedBy>Mario Yedidia</cp:lastModifiedBy>
  <cp:revision>2</cp:revision>
  <dcterms:created xsi:type="dcterms:W3CDTF">2014-06-16T03:39:00Z</dcterms:created>
  <dcterms:modified xsi:type="dcterms:W3CDTF">2014-06-16T03:39:00Z</dcterms:modified>
</cp:coreProperties>
</file>